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C9" w:rsidRPr="004E07C9" w:rsidRDefault="00CD3103" w:rsidP="00CD3103">
      <w:pPr>
        <w:ind w:left="180"/>
        <w:jc w:val="center"/>
        <w:rPr>
          <w:sz w:val="32"/>
          <w:szCs w:val="32"/>
        </w:rPr>
      </w:pPr>
      <w:r>
        <w:rPr>
          <w:sz w:val="32"/>
          <w:szCs w:val="32"/>
        </w:rPr>
        <w:t>Список материалов, направленных на защиту информационной безопасности граждан</w:t>
      </w: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CD3103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CD3103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CD3103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CD3103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CD3103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CD3103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CD3103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CD3103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CD3103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CD3103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CD3103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CD3103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CD3103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CD3103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CD3103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  <w:bookmarkStart w:id="0" w:name="_GoBack"/>
      <w:bookmarkEnd w:id="0"/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CD3103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CD3103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CD3103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CD3103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CD3103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CD3103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CD3103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CD3103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CD3103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CD3103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CD3103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CD3103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CD3103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CD3103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Сбер</w:t>
      </w:r>
      <w:r w:rsidR="0042170F">
        <w:rPr>
          <w:b/>
          <w:bCs/>
        </w:rPr>
        <w:t>б</w:t>
      </w:r>
      <w:r w:rsidRPr="005B32A9">
        <w:rPr>
          <w:b/>
          <w:bCs/>
        </w:rPr>
        <w:t>анк</w:t>
      </w:r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CD3103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CD3103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 xml:space="preserve">Актуальные угрозы </w:t>
      </w:r>
      <w:proofErr w:type="spellStart"/>
      <w:r w:rsidRPr="005B32A9">
        <w:rPr>
          <w:bCs/>
        </w:rPr>
        <w:t>кибербезопасности</w:t>
      </w:r>
      <w:proofErr w:type="spellEnd"/>
      <w:r w:rsidRPr="005B32A9">
        <w:rPr>
          <w:bCs/>
        </w:rPr>
        <w:t xml:space="preserve">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CD3103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CD3103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CD3103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po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CD3103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CD3103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0"/>
    <w:rsid w:val="002A09E0"/>
    <w:rsid w:val="00325AA9"/>
    <w:rsid w:val="003A3ABE"/>
    <w:rsid w:val="0042170F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B4296F"/>
    <w:rsid w:val="00CD3103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167EA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CD3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D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8274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Пользователь Windows</cp:lastModifiedBy>
  <cp:revision>8</cp:revision>
  <cp:lastPrinted>2024-10-24T03:51:00Z</cp:lastPrinted>
  <dcterms:created xsi:type="dcterms:W3CDTF">2024-10-16T08:28:00Z</dcterms:created>
  <dcterms:modified xsi:type="dcterms:W3CDTF">2024-10-24T03:51:00Z</dcterms:modified>
</cp:coreProperties>
</file>